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BBB" w:rsidRDefault="00000000">
      <w:pPr>
        <w:ind w:left="-284" w:right="-575"/>
        <w:rPr>
          <w:rFonts w:cs="Times New Roman"/>
        </w:rPr>
      </w:pPr>
      <w:r>
        <w:t xml:space="preserve">     Pressemitteilung Nr. 71/2022      </w:t>
      </w:r>
    </w:p>
    <w:p w:rsidR="00391BBB" w:rsidRDefault="00000000">
      <w:pPr>
        <w:ind w:left="-284" w:right="-575"/>
        <w:rPr>
          <w:rFonts w:cs="Times New Roman"/>
          <w:sz w:val="10"/>
          <w:szCs w:val="10"/>
        </w:rPr>
      </w:pPr>
      <w:r>
        <w:t xml:space="preserve"> </w:t>
      </w:r>
      <w:r>
        <w:rPr>
          <w:sz w:val="10"/>
          <w:szCs w:val="10"/>
        </w:rPr>
        <w:t xml:space="preserve">              </w:t>
      </w:r>
    </w:p>
    <w:p w:rsidR="00391BBB" w:rsidRDefault="00000000">
      <w:pPr>
        <w:jc w:val="both"/>
        <w:rPr>
          <w:rFonts w:cs="Times New Roman"/>
          <w:b/>
          <w:bCs/>
          <w:sz w:val="28"/>
          <w:szCs w:val="28"/>
        </w:rPr>
      </w:pPr>
      <w:proofErr w:type="spellStart"/>
      <w:r>
        <w:rPr>
          <w:b/>
          <w:bCs/>
          <w:sz w:val="28"/>
          <w:szCs w:val="28"/>
        </w:rPr>
        <w:t>EIMA</w:t>
      </w:r>
      <w:proofErr w:type="spellEnd"/>
      <w:r>
        <w:rPr>
          <w:b/>
          <w:bCs/>
          <w:sz w:val="28"/>
          <w:szCs w:val="28"/>
        </w:rPr>
        <w:t xml:space="preserve"> 2022, die beste Ausgabe überhaupt</w:t>
      </w:r>
    </w:p>
    <w:p w:rsidR="00391BBB" w:rsidRDefault="00391BBB">
      <w:pPr>
        <w:jc w:val="both"/>
        <w:rPr>
          <w:rFonts w:cs="Times New Roman"/>
          <w:b/>
          <w:bCs/>
          <w:i/>
          <w:iCs/>
        </w:rPr>
      </w:pPr>
    </w:p>
    <w:p w:rsidR="00391BBB" w:rsidRDefault="00000000">
      <w:pPr>
        <w:jc w:val="both"/>
        <w:rPr>
          <w:rFonts w:cs="Times New Roman"/>
          <w:b/>
          <w:bCs/>
          <w:i/>
          <w:iCs/>
        </w:rPr>
      </w:pPr>
      <w:r>
        <w:rPr>
          <w:b/>
          <w:bCs/>
          <w:i/>
          <w:iCs/>
        </w:rPr>
        <w:t>Die 45. Ausgabe der Weltschau der landwirtschaftlichen Mechanik verzeichnet am Ende die außerordentliche Zahl von 327.100 Besuchern, ein neuer Rekord nach der vorigen Bestmarke von 2018 (317.000) und eine Top-Veranstaltung auf internationaler Ebene. Die nächste Ausgabe findet in Bologna vom 6. zum 10. November 2024 statt.</w:t>
      </w:r>
    </w:p>
    <w:p w:rsidR="00391BBB" w:rsidRDefault="00391BBB">
      <w:pPr>
        <w:jc w:val="both"/>
        <w:rPr>
          <w:rFonts w:cs="Times New Roman"/>
          <w:b/>
          <w:bCs/>
          <w:i/>
          <w:iCs/>
        </w:rPr>
      </w:pPr>
    </w:p>
    <w:p w:rsidR="00391BBB" w:rsidRPr="007E53BF" w:rsidRDefault="00000000">
      <w:pPr>
        <w:jc w:val="both"/>
        <w:rPr>
          <w:rFonts w:cs="Times New Roman"/>
          <w:sz w:val="22"/>
          <w:szCs w:val="22"/>
        </w:rPr>
      </w:pPr>
      <w:r w:rsidRPr="007E53BF">
        <w:rPr>
          <w:sz w:val="22"/>
          <w:szCs w:val="22"/>
        </w:rPr>
        <w:t xml:space="preserve">Die Ausgabe 2022 der </w:t>
      </w:r>
      <w:proofErr w:type="spellStart"/>
      <w:r w:rsidRPr="007E53BF">
        <w:rPr>
          <w:sz w:val="22"/>
          <w:szCs w:val="22"/>
        </w:rPr>
        <w:t>EIMA</w:t>
      </w:r>
      <w:proofErr w:type="spellEnd"/>
      <w:r w:rsidRPr="007E53BF">
        <w:rPr>
          <w:sz w:val="22"/>
          <w:szCs w:val="22"/>
        </w:rPr>
        <w:t xml:space="preserve"> international erreicht eine historische Bestmarke mit 327.100 Besuchern, davon 57.300 aus dem Ausland. In den fünf Tagen der Ausstellung – ein von der FederUnacoma organisiertes Event von internationaler Bedeutung für den Sektor der landwirtschaftlichen Mechanik – hat die Anzahl der Besucher die Rekordmarke (317.000) der Ausgabe aus dem Jahr 2018 vor der Krise durch die Pandemie überschritten.</w:t>
      </w:r>
    </w:p>
    <w:p w:rsidR="00391BBB" w:rsidRPr="007E53BF" w:rsidRDefault="00000000">
      <w:pPr>
        <w:jc w:val="both"/>
        <w:rPr>
          <w:rFonts w:cs="Times New Roman"/>
          <w:sz w:val="22"/>
          <w:szCs w:val="22"/>
        </w:rPr>
      </w:pPr>
      <w:r w:rsidRPr="007E53BF">
        <w:rPr>
          <w:sz w:val="22"/>
          <w:szCs w:val="22"/>
        </w:rPr>
        <w:t>Die Schau in Bologna überholt also schwungvoll die schwierigste zwei Jahre für die Messeveranstaltungen (2020-2022) aufgrund des Gesundheitsnotstands und dann der schwierigen Wirtschaftskonjunktur und stärkt die eigene Führung innerhalb des Messewesens. Die internationale Ausrichtung ist die wahre Stärke dieser Schau – so die Organisatoren – und das kennzeichnende Element, wodurch sie sich im Vergleich zu den anderen Events unterscheidet. Die ausländischen Besucher aus jedem Kontinent decken 18% der Gesamtbesucher ab, wobei 80 offizielle Delegationen aus Wirtschaftsakteuren anwesend waren - die dank der ICE-Agentur organisiert wurden - und die Geschäftstreffen in der eigens dafür eingerichteten Halle der ausländischen Delegationen belebt haben.</w:t>
      </w:r>
    </w:p>
    <w:p w:rsidR="00391BBB" w:rsidRPr="007E53BF" w:rsidRDefault="00000000">
      <w:pPr>
        <w:jc w:val="both"/>
        <w:rPr>
          <w:rFonts w:cs="Times New Roman"/>
          <w:sz w:val="22"/>
          <w:szCs w:val="22"/>
        </w:rPr>
      </w:pPr>
      <w:r w:rsidRPr="007E53BF">
        <w:rPr>
          <w:sz w:val="22"/>
          <w:szCs w:val="22"/>
        </w:rPr>
        <w:t xml:space="preserve">„Der Erfolg der </w:t>
      </w:r>
      <w:proofErr w:type="spellStart"/>
      <w:r w:rsidRPr="007E53BF">
        <w:rPr>
          <w:sz w:val="22"/>
          <w:szCs w:val="22"/>
        </w:rPr>
        <w:t>EIMA</w:t>
      </w:r>
      <w:proofErr w:type="spellEnd"/>
      <w:r w:rsidRPr="007E53BF">
        <w:rPr>
          <w:sz w:val="22"/>
          <w:szCs w:val="22"/>
        </w:rPr>
        <w:t xml:space="preserve"> bestätigt das wachsende Interesse für die landwirtschaftlichen Technologien der neuen Generation, dank welcher der Bedarf an Nahrungsmitteln einer globalen Bevölkerung befriedigt werden kann, die innerhalb der nächsten zehn Jahre um fast einer Milliarde von Personen ansteigen wird – so der Vorsitzende der FederUnacoma Alessandro </w:t>
      </w:r>
      <w:proofErr w:type="spellStart"/>
      <w:r w:rsidRPr="007E53BF">
        <w:rPr>
          <w:sz w:val="22"/>
          <w:szCs w:val="22"/>
        </w:rPr>
        <w:t>Malavolti</w:t>
      </w:r>
      <w:proofErr w:type="spellEnd"/>
      <w:r w:rsidRPr="007E53BF">
        <w:rPr>
          <w:sz w:val="22"/>
          <w:szCs w:val="22"/>
        </w:rPr>
        <w:t xml:space="preserve"> – und bestätigt, </w:t>
      </w:r>
      <w:proofErr w:type="spellStart"/>
      <w:r w:rsidRPr="007E53BF">
        <w:rPr>
          <w:sz w:val="22"/>
          <w:szCs w:val="22"/>
        </w:rPr>
        <w:t>dass</w:t>
      </w:r>
      <w:proofErr w:type="spellEnd"/>
      <w:r w:rsidRPr="007E53BF">
        <w:rPr>
          <w:sz w:val="22"/>
          <w:szCs w:val="22"/>
        </w:rPr>
        <w:t xml:space="preserve"> jede Region der Welt das Bestreben für den Einsatz von innovativen Kulturmethoden besteht, wobei man auf wissenschaftliche und nachhaltige Weise die Wasserressourcen und die Fruchtbarkeit der Böden zu nutzen versucht”. „In dieser Perspektive – fügte </w:t>
      </w:r>
      <w:proofErr w:type="spellStart"/>
      <w:r w:rsidRPr="007E53BF">
        <w:rPr>
          <w:sz w:val="22"/>
          <w:szCs w:val="22"/>
        </w:rPr>
        <w:t>Malavolti</w:t>
      </w:r>
      <w:proofErr w:type="spellEnd"/>
      <w:r w:rsidRPr="007E53BF">
        <w:rPr>
          <w:sz w:val="22"/>
          <w:szCs w:val="22"/>
        </w:rPr>
        <w:t xml:space="preserve"> hinzu – besteht für eine Messe wie die </w:t>
      </w:r>
      <w:proofErr w:type="spellStart"/>
      <w:r w:rsidRPr="007E53BF">
        <w:rPr>
          <w:sz w:val="22"/>
          <w:szCs w:val="22"/>
        </w:rPr>
        <w:t>EIMA</w:t>
      </w:r>
      <w:proofErr w:type="spellEnd"/>
      <w:r w:rsidRPr="007E53BF">
        <w:rPr>
          <w:sz w:val="22"/>
          <w:szCs w:val="22"/>
        </w:rPr>
        <w:t xml:space="preserve"> eine wichtige Mission auch für die nächsten Jahre”.</w:t>
      </w:r>
    </w:p>
    <w:p w:rsidR="00391BBB" w:rsidRPr="007E53BF" w:rsidRDefault="00000000">
      <w:pPr>
        <w:jc w:val="both"/>
        <w:rPr>
          <w:rFonts w:cs="Times New Roman"/>
          <w:sz w:val="22"/>
          <w:szCs w:val="22"/>
        </w:rPr>
      </w:pPr>
      <w:r w:rsidRPr="007E53BF">
        <w:rPr>
          <w:sz w:val="22"/>
          <w:szCs w:val="22"/>
        </w:rPr>
        <w:t xml:space="preserve">„Der Erfolg dieser Ausgabe ist das Ergebnis einer sehr strengen Überwachung, die wir als Verband durchführen, wobei wir versuchen, den Herstellerfirmen und dem Publikum der Wirtschaftsakteure immer effektivere Messedienstleistungen zu bieten – behauptete die Generaldirektorin der FederUnacoma Simona </w:t>
      </w:r>
      <w:proofErr w:type="spellStart"/>
      <w:r w:rsidRPr="007E53BF">
        <w:rPr>
          <w:sz w:val="22"/>
          <w:szCs w:val="22"/>
        </w:rPr>
        <w:t>Rapastella</w:t>
      </w:r>
      <w:proofErr w:type="spellEnd"/>
      <w:r w:rsidRPr="007E53BF">
        <w:rPr>
          <w:sz w:val="22"/>
          <w:szCs w:val="22"/>
        </w:rPr>
        <w:t xml:space="preserve"> –, die das </w:t>
      </w:r>
      <w:r w:rsidRPr="007E53BF">
        <w:rPr>
          <w:color w:val="auto"/>
          <w:sz w:val="22"/>
          <w:szCs w:val="22"/>
        </w:rPr>
        <w:t xml:space="preserve">Ergebnis einer sehr genauen Strategie zum Brand </w:t>
      </w:r>
      <w:proofErr w:type="spellStart"/>
      <w:r w:rsidRPr="007E53BF">
        <w:rPr>
          <w:color w:val="auto"/>
          <w:sz w:val="22"/>
          <w:szCs w:val="22"/>
        </w:rPr>
        <w:t>Eima</w:t>
      </w:r>
      <w:proofErr w:type="spellEnd"/>
      <w:r w:rsidRPr="007E53BF">
        <w:rPr>
          <w:color w:val="auto"/>
          <w:sz w:val="22"/>
          <w:szCs w:val="22"/>
        </w:rPr>
        <w:t xml:space="preserve"> sowie den Inhalten der Schau sowie einer bedeutenden Investition ist, </w:t>
      </w:r>
      <w:r w:rsidRPr="007E53BF">
        <w:rPr>
          <w:sz w:val="22"/>
          <w:szCs w:val="22"/>
        </w:rPr>
        <w:t xml:space="preserve">die wir ausgearbeitet haben, um sie zu unterstützen und die gesamten strategischen Zielsetzungen miteinzubeziehen”. „Zu diesen Investitionen kommen jene hinzu, die von </w:t>
      </w:r>
      <w:proofErr w:type="spellStart"/>
      <w:r w:rsidRPr="007E53BF">
        <w:rPr>
          <w:sz w:val="22"/>
          <w:szCs w:val="22"/>
        </w:rPr>
        <w:t>BolognaFiere</w:t>
      </w:r>
      <w:proofErr w:type="spellEnd"/>
      <w:r w:rsidRPr="007E53BF">
        <w:rPr>
          <w:sz w:val="22"/>
          <w:szCs w:val="22"/>
        </w:rPr>
        <w:t xml:space="preserve"> getätigt wurden, um die Strukturen des Messegeländes zu verbessern - so abschließend </w:t>
      </w:r>
      <w:proofErr w:type="spellStart"/>
      <w:r w:rsidRPr="007E53BF">
        <w:rPr>
          <w:sz w:val="22"/>
          <w:szCs w:val="22"/>
        </w:rPr>
        <w:t>Rapastella</w:t>
      </w:r>
      <w:proofErr w:type="spellEnd"/>
      <w:r w:rsidRPr="007E53BF">
        <w:rPr>
          <w:sz w:val="22"/>
          <w:szCs w:val="22"/>
        </w:rPr>
        <w:t xml:space="preserve"> - die auch in den nächsten Jahren einer Veranstaltung mit einer großartigen Gegenwart und einer großartigen Zukunft gerecht sein werden”.</w:t>
      </w:r>
    </w:p>
    <w:p w:rsidR="00391BBB" w:rsidRPr="007E53BF" w:rsidRDefault="00000000">
      <w:pPr>
        <w:jc w:val="both"/>
        <w:rPr>
          <w:rFonts w:cs="Times New Roman"/>
          <w:sz w:val="22"/>
          <w:szCs w:val="22"/>
        </w:rPr>
      </w:pPr>
      <w:r w:rsidRPr="007E53BF">
        <w:rPr>
          <w:sz w:val="22"/>
          <w:szCs w:val="22"/>
        </w:rPr>
        <w:t xml:space="preserve">Die nächste Ausgabe der </w:t>
      </w:r>
      <w:proofErr w:type="spellStart"/>
      <w:r w:rsidRPr="007E53BF">
        <w:rPr>
          <w:sz w:val="22"/>
          <w:szCs w:val="22"/>
        </w:rPr>
        <w:t>EIMA</w:t>
      </w:r>
      <w:proofErr w:type="spellEnd"/>
      <w:r w:rsidRPr="007E53BF">
        <w:rPr>
          <w:sz w:val="22"/>
          <w:szCs w:val="22"/>
        </w:rPr>
        <w:t xml:space="preserve"> International wird vom 6. bis zum 10. November 2024 veranstaltet, wobei ein für die landwirtschaftlichen Mechanik bedeutendes Event auch im nächsten Jahr abgehalten wird, und zwar mit der Rückkehr der </w:t>
      </w:r>
      <w:proofErr w:type="spellStart"/>
      <w:r w:rsidRPr="007E53BF">
        <w:rPr>
          <w:sz w:val="22"/>
          <w:szCs w:val="22"/>
        </w:rPr>
        <w:t>Agrilevante</w:t>
      </w:r>
      <w:proofErr w:type="spellEnd"/>
      <w:r w:rsidRPr="007E53BF">
        <w:rPr>
          <w:sz w:val="22"/>
          <w:szCs w:val="22"/>
        </w:rPr>
        <w:t xml:space="preserve"> </w:t>
      </w:r>
      <w:proofErr w:type="spellStart"/>
      <w:r w:rsidRPr="007E53BF">
        <w:rPr>
          <w:sz w:val="22"/>
          <w:szCs w:val="22"/>
        </w:rPr>
        <w:t>by</w:t>
      </w:r>
      <w:proofErr w:type="spellEnd"/>
      <w:r w:rsidRPr="007E53BF">
        <w:rPr>
          <w:sz w:val="22"/>
          <w:szCs w:val="22"/>
        </w:rPr>
        <w:t xml:space="preserve"> </w:t>
      </w:r>
      <w:proofErr w:type="spellStart"/>
      <w:r w:rsidRPr="007E53BF">
        <w:rPr>
          <w:sz w:val="22"/>
          <w:szCs w:val="22"/>
        </w:rPr>
        <w:t>EIMA</w:t>
      </w:r>
      <w:proofErr w:type="spellEnd"/>
      <w:r w:rsidRPr="007E53BF">
        <w:rPr>
          <w:sz w:val="22"/>
          <w:szCs w:val="22"/>
        </w:rPr>
        <w:t>, der Schau für die Mechanisierung der Kulturen im Mittelmeerraum, die auf der Messe Bari vom 5. bis zum 8. Oktober 2023 stattfinden wird.</w:t>
      </w:r>
    </w:p>
    <w:p w:rsidR="00391BBB" w:rsidRDefault="00391BBB">
      <w:pPr>
        <w:jc w:val="both"/>
        <w:rPr>
          <w:rFonts w:cs="Times New Roman"/>
        </w:rPr>
      </w:pPr>
    </w:p>
    <w:p w:rsidR="00391BBB" w:rsidRDefault="00000000">
      <w:pPr>
        <w:spacing w:before="120" w:after="120"/>
        <w:ind w:left="-284" w:right="-575"/>
        <w:jc w:val="both"/>
        <w:rPr>
          <w:rFonts w:eastAsia="Times New Roman" w:cs="Times New Roman"/>
          <w:b/>
          <w:bCs/>
          <w:color w:val="333333"/>
          <w:sz w:val="22"/>
          <w:szCs w:val="22"/>
        </w:rPr>
      </w:pPr>
      <w:r>
        <w:rPr>
          <w:b/>
          <w:bCs/>
          <w:color w:val="333333"/>
          <w:sz w:val="22"/>
          <w:szCs w:val="22"/>
        </w:rPr>
        <w:t xml:space="preserve">     Bologna, den 14. November 2022</w:t>
      </w:r>
    </w:p>
    <w:p w:rsidR="00391BBB" w:rsidRDefault="00391BBB">
      <w:pPr>
        <w:spacing w:before="120" w:after="120"/>
        <w:ind w:left="-284" w:right="-575"/>
        <w:jc w:val="both"/>
        <w:rPr>
          <w:rFonts w:eastAsia="Times New Roman" w:cs="Times New Roman"/>
          <w:b/>
          <w:bCs/>
          <w:color w:val="333333"/>
          <w:sz w:val="22"/>
          <w:szCs w:val="22"/>
        </w:rPr>
      </w:pPr>
    </w:p>
    <w:p w:rsidR="00391BBB" w:rsidRDefault="00000000">
      <w:pPr>
        <w:spacing w:before="120" w:after="120"/>
        <w:ind w:left="-284" w:right="-575"/>
        <w:jc w:val="both"/>
        <w:rPr>
          <w:rStyle w:val="CollegamentoInternet"/>
          <w:rFonts w:eastAsia="Times New Roman" w:cs="Times New Roman"/>
          <w:b/>
          <w:bCs/>
          <w:sz w:val="22"/>
          <w:szCs w:val="22"/>
        </w:rPr>
      </w:pPr>
      <w:r>
        <w:rPr>
          <w:b/>
          <w:bCs/>
          <w:color w:val="333333"/>
          <w:sz w:val="22"/>
          <w:szCs w:val="22"/>
        </w:rPr>
        <w:t xml:space="preserve">     </w:t>
      </w:r>
      <w:hyperlink r:id="rId7">
        <w:r>
          <w:rPr>
            <w:rStyle w:val="CollegamentoInternet"/>
            <w:b/>
            <w:bCs/>
            <w:sz w:val="22"/>
            <w:szCs w:val="22"/>
          </w:rPr>
          <w:t xml:space="preserve">Verweis Abbildung </w:t>
        </w:r>
        <w:proofErr w:type="spellStart"/>
        <w:r>
          <w:rPr>
            <w:rStyle w:val="CollegamentoInternet"/>
            <w:b/>
            <w:bCs/>
            <w:sz w:val="22"/>
            <w:szCs w:val="22"/>
          </w:rPr>
          <w:t>EIMA</w:t>
        </w:r>
        <w:proofErr w:type="spellEnd"/>
        <w:r>
          <w:rPr>
            <w:rStyle w:val="CollegamentoInternet"/>
            <w:b/>
            <w:bCs/>
            <w:sz w:val="22"/>
            <w:szCs w:val="22"/>
          </w:rPr>
          <w:t xml:space="preserve"> 2022</w:t>
        </w:r>
      </w:hyperlink>
    </w:p>
    <w:p w:rsidR="00391BBB" w:rsidRDefault="00391BBB">
      <w:pPr>
        <w:spacing w:before="120" w:after="120"/>
        <w:ind w:left="-284" w:right="-575"/>
        <w:jc w:val="both"/>
        <w:rPr>
          <w:rStyle w:val="CollegamentoInternet"/>
          <w:rFonts w:eastAsia="Times New Roman" w:cs="Times New Roman"/>
          <w:b/>
          <w:bCs/>
          <w:sz w:val="22"/>
          <w:szCs w:val="22"/>
        </w:rPr>
      </w:pPr>
    </w:p>
    <w:p w:rsidR="00391BBB" w:rsidRDefault="00000000">
      <w:pPr>
        <w:spacing w:before="120" w:after="120"/>
        <w:ind w:left="-284" w:right="-575"/>
        <w:jc w:val="both"/>
        <w:rPr>
          <w:rFonts w:cs="Times New Roman"/>
          <w:sz w:val="22"/>
          <w:szCs w:val="22"/>
        </w:rPr>
      </w:pPr>
      <w:r>
        <w:rPr>
          <w:rFonts w:ascii="Calibri" w:hAnsi="Calibri"/>
          <w:color w:val="auto"/>
          <w:sz w:val="22"/>
          <w:szCs w:val="21"/>
        </w:rPr>
        <w:t xml:space="preserve"> </w:t>
      </w:r>
    </w:p>
    <w:sectPr w:rsidR="00391BBB">
      <w:headerReference w:type="default" r:id="rId8"/>
      <w:pgSz w:w="11906" w:h="16838"/>
      <w:pgMar w:top="777" w:right="701" w:bottom="284" w:left="3261"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D18" w:rsidRDefault="00002D18">
      <w:r>
        <w:separator/>
      </w:r>
    </w:p>
  </w:endnote>
  <w:endnote w:type="continuationSeparator" w:id="0">
    <w:p w:rsidR="00002D18" w:rsidRDefault="0000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D18" w:rsidRDefault="00002D18">
      <w:r>
        <w:separator/>
      </w:r>
    </w:p>
  </w:footnote>
  <w:footnote w:type="continuationSeparator" w:id="0">
    <w:p w:rsidR="00002D18" w:rsidRDefault="0000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1BBB" w:rsidRDefault="00000000">
    <w:pPr>
      <w:pStyle w:val="Intestazione"/>
      <w:tabs>
        <w:tab w:val="clear" w:pos="9638"/>
        <w:tab w:val="right" w:pos="7485"/>
      </w:tabs>
    </w:pPr>
    <w:r>
      <w:rPr>
        <w:noProof/>
      </w:rPr>
      <mc:AlternateContent>
        <mc:Choice Requires="wps">
          <w:drawing>
            <wp:anchor distT="0" distB="0" distL="0" distR="0" simplePos="0" relativeHeight="3" behindDoc="1" locked="0" layoutInCell="0" allowOverlap="1" wp14:anchorId="71F74204">
              <wp:simplePos x="0" y="0"/>
              <wp:positionH relativeFrom="page">
                <wp:posOffset>0</wp:posOffset>
              </wp:positionH>
              <wp:positionV relativeFrom="page">
                <wp:posOffset>0</wp:posOffset>
              </wp:positionV>
              <wp:extent cx="7556500" cy="10693400"/>
              <wp:effectExtent l="0" t="0" r="0" b="0"/>
              <wp:wrapNone/>
              <wp:docPr id="1" name="AutoShape 2"/>
              <wp:cNvGraphicFramePr/>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w:drawing>
        <wp:anchor distT="0" distB="0" distL="0" distR="0" simplePos="0" relativeHeight="5" behindDoc="1" locked="0" layoutInCell="0" allowOverlap="1">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mc:AlternateContent>
        <mc:Choice Requires="wps">
          <w:drawing>
            <wp:anchor distT="0" distB="0" distL="0" distR="0" simplePos="0" relativeHeight="8" behindDoc="1" locked="0" layoutInCell="0" allowOverlap="1"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wp:cNvGraphicFramePr/>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391BBB"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w:r>
    <w:r>
      <w:rPr>
        <w:noProof/>
      </w:rPr>
      <mc:AlternateContent>
        <mc:Choice Requires="wpg">
          <w:drawing>
            <wp:anchor distT="9525" distB="10160" distL="0" distR="0" simplePos="0" relativeHeight="11" behindDoc="1" locked="0" layoutInCell="0" allowOverlap="1" wp14:anchorId="637791A7">
              <wp:simplePos x="0" y="0"/>
              <wp:positionH relativeFrom="rightMargin">
                <wp:align>center</wp:align>
              </wp:positionH>
              <wp:positionV relativeFrom="page">
                <wp:posOffset>2138680</wp:posOffset>
              </wp:positionV>
              <wp:extent cx="488315" cy="237490"/>
              <wp:effectExtent l="635" t="3810" r="0" b="3810"/>
              <wp:wrapNone/>
              <wp:docPr id="5" name="Gruppo 8"/>
              <wp:cNvGraphicFramePr/>
              <a:graphic xmlns:a="http://schemas.openxmlformats.org/drawingml/2006/main">
                <a:graphicData uri="http://schemas.microsoft.com/office/word/2010/wordprocessingGroup">
                  <wpg:wgp>
                    <wpg:cNvGrpSpPr/>
                    <wpg:grpSpPr>
                      <a:xfrm>
                        <a:off x="0" y="0"/>
                        <a:ext cx="488160" cy="237600"/>
                        <a:chOff x="0" y="0"/>
                        <a:chExt cx="488160" cy="237600"/>
                      </a:xfrm>
                    </wpg:grpSpPr>
                    <wps:wsp>
                      <wps:cNvPr id="4" name="Rettangolo 4"/>
                      <wps:cNvSpPr/>
                      <wps:spPr>
                        <a:xfrm>
                          <a:off x="0" y="5040"/>
                          <a:ext cx="48816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391BBB" w:rsidRDefault="00000000">
                            <w:pPr>
                              <w:overflowPunct w:val="0"/>
                              <w:jc w:val="center"/>
                            </w:pPr>
                            <w:r>
                              <w:rPr>
                                <w:rFonts w:cs="Times New Roman"/>
                                <w:b/>
                                <w:bCs/>
                                <w:color w:val="3F3151"/>
                                <w:sz w:val="16"/>
                                <w:szCs w:val="16"/>
                              </w:rPr>
                              <w:t>2</w:t>
                            </w:r>
                          </w:p>
                        </w:txbxContent>
                      </wps:txbx>
                      <wps:bodyPr lIns="0" tIns="0" rIns="0" bIns="0" anchor="ctr" upright="1">
                        <a:noAutofit/>
                      </wps:bodyPr>
                    </wps:wsp>
                    <wpg:grpSp>
                      <wpg:cNvPr id="6" name="Gruppo 6"/>
                      <wpg:cNvGrpSpPr/>
                      <wpg:grpSpPr>
                        <a:xfrm>
                          <a:off x="124920" y="0"/>
                          <a:ext cx="237600" cy="237600"/>
                          <a:chOff x="0" y="0"/>
                          <a:chExt cx="0" cy="0"/>
                        </a:xfrm>
                      </wpg:grpSpPr>
                      <wps:wsp>
                        <wps:cNvPr id="7" name="Ovale 7"/>
                        <wps:cNvSpPr/>
                        <wps:spPr>
                          <a:xfrm>
                            <a:off x="0" y="0"/>
                            <a:ext cx="237600" cy="237600"/>
                          </a:xfrm>
                          <a:prstGeom prst="ellipse">
                            <a:avLst/>
                          </a:prstGeom>
                          <a:noFill/>
                          <a:ln w="6350">
                            <a:solidFill>
                              <a:srgbClr val="84A2C6"/>
                            </a:solidFill>
                            <a:round/>
                          </a:ln>
                        </wps:spPr>
                        <wps:style>
                          <a:lnRef idx="0">
                            <a:scrgbClr r="0" g="0" b="0"/>
                          </a:lnRef>
                          <a:fillRef idx="0">
                            <a:scrgbClr r="0" g="0" b="0"/>
                          </a:fillRef>
                          <a:effectRef idx="0">
                            <a:scrgbClr r="0" g="0" b="0"/>
                          </a:effectRef>
                          <a:fontRef idx="minor"/>
                        </wps:style>
                        <wps:bodyPr/>
                      </wps:wsp>
                      <wps:wsp>
                        <wps:cNvPr id="8" name="Ovale 8"/>
                        <wps:cNvSpPr/>
                        <wps:spPr>
                          <a:xfrm>
                            <a:off x="5760" y="1800"/>
                            <a:ext cx="63360" cy="63360"/>
                          </a:xfrm>
                          <a:prstGeom prst="ellipse">
                            <a:avLst/>
                          </a:prstGeom>
                          <a:solidFill>
                            <a:srgbClr val="84A2C6"/>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uppo 8" style="position:absolute;margin-left:-1.75pt;margin-top:168.4pt;width:38.45pt;height:18.7pt" coordorigin="-35,3368" coordsize="769,374">
              <v:rect id="shape_0" ID="Text Box 71" path="m0,0l-2147483645,0l-2147483645,-2147483646l0,-2147483646xe" stroked="f" o:allowincell="f" style="position:absolute;left:-35;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162;top:3368;width:374;height:374">
                <v:oval id="shape_0" ID="Oval 73" path="l-2147483648,-2147483643l-2147483628,-2147483627l-2147483648,-2147483643l-2147483626,-2147483625xe" stroked="t" o:allowincell="f" style="position:absolute;left:162;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171;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BB"/>
    <w:rsid w:val="00002D18"/>
    <w:rsid w:val="00391BBB"/>
    <w:rsid w:val="007E53B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C325E-1BA1-4360-9568-0E92F306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spacing w:beforeAutospacing="1" w:afterAutospacing="1"/>
      <w:outlineLvl w:val="0"/>
    </w:pPr>
    <w:rPr>
      <w:rFonts w:eastAsia="Times New Roman" w:cs="Times New Roman"/>
      <w:b/>
      <w:bCs/>
      <w:color w:val="auto"/>
      <w:kern w:val="2"/>
      <w:sz w:val="48"/>
      <w:szCs w:val="48"/>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076A4E"/>
    <w:rPr>
      <w:u w:val="single"/>
    </w:rPr>
  </w:style>
  <w:style w:type="character" w:customStyle="1" w:styleId="Nessuno">
    <w:name w:val="Nessuno"/>
    <w:qFormat/>
    <w:rsid w:val="00076A4E"/>
  </w:style>
  <w:style w:type="character" w:customStyle="1" w:styleId="TestofumettoCarattere">
    <w:name w:val="Testo fumetto Carattere"/>
    <w:basedOn w:val="Carpredefinitoparagrafo"/>
    <w:link w:val="Testofumetto"/>
    <w:uiPriority w:val="99"/>
    <w:semiHidden/>
    <w:qFormat/>
    <w:rsid w:val="008553FB"/>
    <w:rPr>
      <w:rFonts w:ascii="Tahoma" w:hAnsi="Tahoma" w:cs="Tahoma"/>
      <w:color w:val="000000"/>
      <w:sz w:val="16"/>
      <w:szCs w:val="16"/>
      <w:u w:val="none" w:color="000000"/>
      <w:lang w:val="de-DE"/>
    </w:rPr>
  </w:style>
  <w:style w:type="character" w:customStyle="1" w:styleId="Menzionenonrisolta1">
    <w:name w:val="Menzione non risolta1"/>
    <w:basedOn w:val="Carpredefinitoparagrafo"/>
    <w:uiPriority w:val="99"/>
    <w:semiHidden/>
    <w:unhideWhenUsed/>
    <w:qFormat/>
    <w:rsid w:val="00803B1C"/>
    <w:rPr>
      <w:color w:val="605E5C"/>
      <w:shd w:val="clear" w:color="auto" w:fill="E1DFDD"/>
    </w:rPr>
  </w:style>
  <w:style w:type="character" w:styleId="Rimandocommento">
    <w:name w:val="annotation reference"/>
    <w:basedOn w:val="Carpredefinitoparagrafo"/>
    <w:uiPriority w:val="99"/>
    <w:semiHidden/>
    <w:unhideWhenUsed/>
    <w:qFormat/>
    <w:rsid w:val="006121B5"/>
    <w:rPr>
      <w:sz w:val="16"/>
      <w:szCs w:val="16"/>
    </w:rPr>
  </w:style>
  <w:style w:type="character" w:customStyle="1" w:styleId="TestocommentoCarattere">
    <w:name w:val="Testo commento Carattere"/>
    <w:basedOn w:val="Carpredefinitoparagrafo"/>
    <w:link w:val="Testocommento"/>
    <w:uiPriority w:val="99"/>
    <w:semiHidden/>
    <w:qFormat/>
    <w:rsid w:val="006121B5"/>
    <w:rPr>
      <w:rFonts w:cs="Arial Unicode MS"/>
      <w:color w:val="000000"/>
      <w:u w:val="none" w:color="000000"/>
      <w:lang w:val="de-DE"/>
    </w:rPr>
  </w:style>
  <w:style w:type="character" w:customStyle="1" w:styleId="SoggettocommentoCarattere">
    <w:name w:val="Soggetto commento Carattere"/>
    <w:basedOn w:val="TestocommentoCarattere"/>
    <w:link w:val="Soggettocommento"/>
    <w:uiPriority w:val="99"/>
    <w:semiHidden/>
    <w:qFormat/>
    <w:rsid w:val="006121B5"/>
    <w:rPr>
      <w:rFonts w:cs="Arial Unicode MS"/>
      <w:b/>
      <w:bCs/>
      <w:color w:val="000000"/>
      <w:u w:val="none" w:color="000000"/>
      <w:lang w:val="de-DE"/>
    </w:rPr>
  </w:style>
  <w:style w:type="character" w:customStyle="1" w:styleId="Titolo1Carattere">
    <w:name w:val="Titolo 1 Carattere"/>
    <w:basedOn w:val="Carpredefinitoparagrafo"/>
    <w:link w:val="Titolo1"/>
    <w:uiPriority w:val="9"/>
    <w:qFormat/>
    <w:rsid w:val="00BA004C"/>
    <w:rPr>
      <w:rFonts w:eastAsia="Times New Roman"/>
      <w:b/>
      <w:bCs/>
      <w:kern w:val="2"/>
      <w:sz w:val="48"/>
      <w:szCs w:val="48"/>
    </w:rPr>
  </w:style>
  <w:style w:type="character" w:customStyle="1" w:styleId="PidipaginaCarattere">
    <w:name w:val="Piè di pagina Carattere"/>
    <w:basedOn w:val="Carpredefinitoparagrafo"/>
    <w:link w:val="Pidipagina"/>
    <w:uiPriority w:val="99"/>
    <w:qFormat/>
    <w:rsid w:val="007E7D8A"/>
    <w:rPr>
      <w:rFonts w:cs="Arial Unicode MS"/>
      <w:color w:val="000000"/>
      <w:sz w:val="24"/>
      <w:szCs w:val="24"/>
      <w:u w:val="none" w:color="000000"/>
      <w:lang w:val="de-DE"/>
    </w:rPr>
  </w:style>
  <w:style w:type="character" w:customStyle="1" w:styleId="IntestazioneCarattere">
    <w:name w:val="Intestazione Carattere"/>
    <w:basedOn w:val="Carpredefinitoparagrafo"/>
    <w:link w:val="Intestazione"/>
    <w:uiPriority w:val="99"/>
    <w:qFormat/>
    <w:rsid w:val="007E7D8A"/>
    <w:rPr>
      <w:rFonts w:cs="Arial Unicode MS"/>
      <w:color w:val="000000"/>
      <w:sz w:val="24"/>
      <w:szCs w:val="24"/>
      <w:u w:val="none" w:color="000000"/>
      <w:lang w:val="de-DE"/>
    </w:rPr>
  </w:style>
  <w:style w:type="character" w:styleId="Numeropagina">
    <w:name w:val="page number"/>
    <w:basedOn w:val="Carpredefinitoparagrafo"/>
    <w:uiPriority w:val="99"/>
    <w:unhideWhenUsed/>
    <w:qFormat/>
    <w:rsid w:val="007E7D8A"/>
  </w:style>
  <w:style w:type="character" w:customStyle="1" w:styleId="Titolo3Carattere">
    <w:name w:val="Titolo 3 Carattere"/>
    <w:basedOn w:val="Carpredefinitoparagrafo"/>
    <w:link w:val="Titolo3"/>
    <w:uiPriority w:val="9"/>
    <w:semiHidden/>
    <w:qFormat/>
    <w:rsid w:val="000C1E4E"/>
    <w:rPr>
      <w:rFonts w:asciiTheme="majorHAnsi" w:eastAsiaTheme="majorEastAsia" w:hAnsiTheme="majorHAnsi" w:cstheme="majorBidi"/>
      <w:color w:val="243F60" w:themeColor="accent1" w:themeShade="7F"/>
      <w:sz w:val="24"/>
      <w:szCs w:val="24"/>
      <w:u w:val="none" w:color="000000"/>
      <w:lang w:val="de-DE"/>
    </w:rPr>
  </w:style>
  <w:style w:type="character" w:customStyle="1" w:styleId="PreformattatoHTMLCarattere">
    <w:name w:val="Preformattato HTML Carattere"/>
    <w:basedOn w:val="Carpredefinitoparagrafo"/>
    <w:link w:val="PreformattatoHTML"/>
    <w:uiPriority w:val="99"/>
    <w:qFormat/>
    <w:rsid w:val="005115F4"/>
    <w:rPr>
      <w:rFonts w:ascii="Courier New" w:eastAsia="Times New Roman" w:hAnsi="Courier New" w:cs="Courier New"/>
    </w:rPr>
  </w:style>
  <w:style w:type="character" w:styleId="Menzionenonrisolta">
    <w:name w:val="Unresolved Mention"/>
    <w:basedOn w:val="Carpredefinitoparagrafo"/>
    <w:uiPriority w:val="99"/>
    <w:semiHidden/>
    <w:unhideWhenUsed/>
    <w:qFormat/>
    <w:rsid w:val="0039306F"/>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lang/>
    </w:rPr>
  </w:style>
  <w:style w:type="paragraph" w:customStyle="1" w:styleId="Intestazioneepidipagina">
    <w:name w:val="Intestazione e piè di pagina"/>
    <w:qFormat/>
    <w:rsid w:val="00076A4E"/>
    <w:pPr>
      <w:tabs>
        <w:tab w:val="right" w:pos="9020"/>
      </w:tabs>
    </w:pPr>
    <w:rPr>
      <w:rFonts w:ascii="Helvetica Neue" w:hAnsi="Helvetica Neue" w:cs="Arial Unicode MS"/>
      <w:color w:val="000000"/>
      <w:sz w:val="24"/>
      <w:szCs w:val="24"/>
    </w:r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paragraph" w:styleId="Testofumetto">
    <w:name w:val="Balloon Text"/>
    <w:basedOn w:val="Normale"/>
    <w:link w:val="TestofumettoCarattere"/>
    <w:uiPriority w:val="99"/>
    <w:semiHidden/>
    <w:unhideWhenUsed/>
    <w:qFormat/>
    <w:rsid w:val="008553FB"/>
    <w:rPr>
      <w:rFonts w:ascii="Tahoma" w:hAnsi="Tahoma" w:cs="Tahoma"/>
      <w:sz w:val="16"/>
      <w:szCs w:val="16"/>
    </w:rPr>
  </w:style>
  <w:style w:type="paragraph" w:styleId="Testocommento">
    <w:name w:val="annotation text"/>
    <w:basedOn w:val="Normale"/>
    <w:link w:val="TestocommentoCarattere"/>
    <w:uiPriority w:val="99"/>
    <w:semiHidden/>
    <w:unhideWhenUsed/>
    <w:qFormat/>
    <w:rsid w:val="006121B5"/>
    <w:rPr>
      <w:sz w:val="20"/>
      <w:szCs w:val="20"/>
    </w:rPr>
  </w:style>
  <w:style w:type="paragraph" w:styleId="Soggettocommento">
    <w:name w:val="annotation subject"/>
    <w:basedOn w:val="Testocommento"/>
    <w:next w:val="Testocommento"/>
    <w:link w:val="SoggettocommentoCarattere"/>
    <w:uiPriority w:val="99"/>
    <w:semiHidden/>
    <w:unhideWhenUsed/>
    <w:qFormat/>
    <w:rsid w:val="006121B5"/>
    <w:rPr>
      <w:b/>
      <w:bCs/>
    </w:rPr>
  </w:style>
  <w:style w:type="paragraph" w:styleId="Revisione">
    <w:name w:val="Revision"/>
    <w:uiPriority w:val="99"/>
    <w:semiHidden/>
    <w:qFormat/>
    <w:rsid w:val="006121B5"/>
    <w:rPr>
      <w:rFonts w:cs="Arial Unicode MS"/>
      <w:color w:val="000000"/>
      <w:sz w:val="24"/>
      <w:szCs w:val="24"/>
      <w:u w:color="000000"/>
    </w:rPr>
  </w:style>
  <w:style w:type="paragraph" w:styleId="Pidipagina">
    <w:name w:val="footer"/>
    <w:basedOn w:val="Normale"/>
    <w:link w:val="PidipaginaCarattere"/>
    <w:uiPriority w:val="99"/>
    <w:unhideWhenUsed/>
    <w:rsid w:val="007E7D8A"/>
    <w:pPr>
      <w:tabs>
        <w:tab w:val="center" w:pos="4819"/>
        <w:tab w:val="right" w:pos="9638"/>
      </w:tabs>
    </w:pPr>
  </w:style>
  <w:style w:type="paragraph" w:styleId="PreformattatoHTML">
    <w:name w:val="HTML Preformatted"/>
    <w:basedOn w:val="Normale"/>
    <w:link w:val="PreformattatoHTMLCarattere"/>
    <w:uiPriority w:val="99"/>
    <w:unhideWhenUsed/>
    <w:qFormat/>
    <w:rsid w:val="0051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paragraph" w:customStyle="1" w:styleId="Contenutocornice">
    <w:name w:val="Contenuto cornice"/>
    <w:basedOn w:val="Normale"/>
    <w:qFormat/>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TyV4AEwf6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553</Words>
  <Characters>3154</Characters>
  <Application>Microsoft Office Word</Application>
  <DocSecurity>0</DocSecurity>
  <Lines>26</Lines>
  <Paragraphs>7</Paragraphs>
  <ScaleCrop>false</ScaleCrop>
  <Company>Hewlett-Packard Company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dc:description/>
  <cp:lastModifiedBy>Mondo Macchina</cp:lastModifiedBy>
  <cp:revision>5</cp:revision>
  <cp:lastPrinted>2020-11-02T16:06:00Z</cp:lastPrinted>
  <dcterms:created xsi:type="dcterms:W3CDTF">2022-11-14T11:44:00Z</dcterms:created>
  <dcterms:modified xsi:type="dcterms:W3CDTF">2022-11-16T08:42:00Z</dcterms:modified>
  <dc:language>de-DE</dc:language>
</cp:coreProperties>
</file>